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Finspång kommunfullmäktige</w:t>
      </w:r>
    </w:p>
    <w:p>
      <w:pPr>
        <w:pStyle w:val="Heading1"/>
      </w:pPr>
      <w:r>
        <w:t xml:space="preserve">Nya hyresrätter via kommunalt bostadsbolag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Finspång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Boverkets bostadsmarknadsenkät 2024 visar underskott på hyresrätter i Finspång, särskilt för unga och nyanlända. Kommunens eget bostadsbolag har möjlighet att bygga 150 lägenheter fram till 2030.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Finspång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får i uppdrag att uppdatera ägardirektivet för Finspångs Bostads AB med mål om 150 nya hyresrätter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50 av lägenheterna ska vara student- och ungdomslägenheter.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 för minst ett nytt område ges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hyran hålls på nivå med genomsnittet i Östergötland.</w:t>
      </w:r>
    </w:p>
    <w:p>
      <w:pPr>
        <w:spacing w:before="360"/>
      </w:pPr>
    </w:p>
    <w:p>
      <w:r>
        <w:t xml:space="preserve">Finspång,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Finspång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2026-07-13T23:55:45.110Z</dcterms:created>
  <dcterms:modified xsi:type="dcterms:W3CDTF">2026-07-13T23:55:45.110Z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